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69" w:rsidRPr="00C94B98" w:rsidRDefault="00DE6069" w:rsidP="00DE6069">
      <w:pPr>
        <w:jc w:val="center"/>
      </w:pPr>
      <w:r w:rsidRPr="001A41FC">
        <w:rPr>
          <w:b/>
        </w:rPr>
        <w:t xml:space="preserve">Поставка </w:t>
      </w:r>
      <w:r w:rsidR="001E6163">
        <w:rPr>
          <w:b/>
        </w:rPr>
        <w:t xml:space="preserve">труб стальных и их соединительных частей </w:t>
      </w:r>
      <w:r w:rsidRPr="001A41FC">
        <w:rPr>
          <w:b/>
        </w:rPr>
        <w:t>для системы теплоснабжения на территории Боровского сельсовета Новосибирског</w:t>
      </w:r>
      <w:r w:rsidR="001E6163">
        <w:rPr>
          <w:b/>
        </w:rPr>
        <w:t xml:space="preserve">о района Новосибирской области </w:t>
      </w:r>
    </w:p>
    <w:p w:rsidR="00DE6069" w:rsidRDefault="00DE6069" w:rsidP="00DE6069">
      <w:pPr>
        <w:keepNext/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DE6069" w:rsidRPr="00AB7791" w:rsidRDefault="00DE6069" w:rsidP="00DE6069">
      <w:pPr>
        <w:ind w:firstLine="709"/>
        <w:jc w:val="both"/>
        <w:rPr>
          <w:b/>
        </w:rPr>
      </w:pPr>
      <w:r>
        <w:t xml:space="preserve">В </w:t>
      </w:r>
      <w:r w:rsidRPr="00784403">
        <w:t>соответствии со статьёй 22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</w:t>
      </w:r>
      <w:r w:rsidR="001E6163">
        <w:t>ксимальной) цены контракта</w:t>
      </w:r>
      <w:r w:rsidRPr="00784403">
        <w:t xml:space="preserve">, </w:t>
      </w:r>
      <w:r>
        <w:rPr>
          <w:b/>
        </w:rPr>
        <w:t xml:space="preserve">начальная (максимальная) </w:t>
      </w:r>
      <w:r w:rsidRPr="0098221C">
        <w:rPr>
          <w:b/>
        </w:rPr>
        <w:t>цена контракта определена Методом сопоставимых рыночных цен (анализа рынка):</w:t>
      </w:r>
    </w:p>
    <w:p w:rsidR="00DE6069" w:rsidRDefault="00DE6069" w:rsidP="00DE6069"/>
    <w:tbl>
      <w:tblPr>
        <w:tblW w:w="534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602"/>
        <w:gridCol w:w="4644"/>
        <w:gridCol w:w="898"/>
        <w:gridCol w:w="747"/>
        <w:gridCol w:w="1950"/>
        <w:gridCol w:w="1947"/>
        <w:gridCol w:w="1950"/>
        <w:gridCol w:w="2098"/>
        <w:gridCol w:w="1608"/>
      </w:tblGrid>
      <w:tr w:rsidR="001E6163" w:rsidRPr="003C07EC" w:rsidTr="001E6163">
        <w:trPr>
          <w:trHeight w:val="51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Наименование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3C07EC">
              <w:rPr>
                <w:b/>
                <w:sz w:val="22"/>
                <w:szCs w:val="22"/>
              </w:rPr>
              <w:t>товара</w:t>
            </w:r>
            <w:proofErr w:type="gram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Ед.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л</w:t>
            </w:r>
            <w:r w:rsidRPr="003C07EC">
              <w:rPr>
                <w:b/>
                <w:sz w:val="22"/>
                <w:szCs w:val="22"/>
              </w:rPr>
              <w:t>-во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Цена за единицу</w:t>
            </w:r>
            <w:r>
              <w:rPr>
                <w:b/>
                <w:sz w:val="22"/>
                <w:szCs w:val="22"/>
              </w:rPr>
              <w:t xml:space="preserve"> товара, руб. </w:t>
            </w:r>
            <w:r w:rsidRPr="003C07EC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источники информации о ценах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</w:t>
            </w:r>
            <w:r w:rsidRPr="003C07EC">
              <w:rPr>
                <w:b/>
                <w:sz w:val="22"/>
                <w:szCs w:val="22"/>
              </w:rPr>
              <w:t xml:space="preserve"> цена </w:t>
            </w:r>
            <w:r>
              <w:rPr>
                <w:b/>
                <w:sz w:val="22"/>
                <w:szCs w:val="22"/>
              </w:rPr>
              <w:t>за единицу товара, руб.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Начальная (максимальная) цена контракта, руб.</w:t>
            </w:r>
          </w:p>
        </w:tc>
      </w:tr>
      <w:tr w:rsidR="001E6163" w:rsidRPr="003C07EC" w:rsidTr="001E6163">
        <w:trPr>
          <w:trHeight w:val="78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1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2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3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</w:tr>
      <w:tr w:rsidR="001E6163" w:rsidRPr="003C07EC" w:rsidTr="001E6163">
        <w:trPr>
          <w:trHeight w:val="3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Default="00DE6069" w:rsidP="00F75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E2217" w:rsidRDefault="00343C7B" w:rsidP="00F75BB6">
            <w:pPr>
              <w:jc w:val="center"/>
            </w:pPr>
            <w:r>
              <w:rPr>
                <w:bCs/>
              </w:rPr>
              <w:t>Трубы стальные и их соединительные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2B6A38" w:rsidRDefault="00DE6069" w:rsidP="00F75BB6">
            <w:pPr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E2217" w:rsidRDefault="00DE6069" w:rsidP="00F75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43C7B" w:rsidP="00F75BB6">
            <w:pPr>
              <w:jc w:val="center"/>
            </w:pPr>
            <w:r>
              <w:t>930 670,00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43C7B" w:rsidP="00F75BB6">
            <w:pPr>
              <w:jc w:val="center"/>
            </w:pPr>
            <w:r>
              <w:t>996 220,00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43C7B" w:rsidP="00F75BB6">
            <w:pPr>
              <w:jc w:val="center"/>
            </w:pPr>
            <w:r>
              <w:t>1 030 270,00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43C7B" w:rsidP="00F75BB6">
            <w:pPr>
              <w:jc w:val="center"/>
            </w:pPr>
            <w:r>
              <w:t>985 720,00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43C7B" w:rsidP="00F75BB6">
            <w:pPr>
              <w:jc w:val="center"/>
            </w:pPr>
            <w:r>
              <w:t>985 720,00</w:t>
            </w:r>
          </w:p>
        </w:tc>
      </w:tr>
      <w:tr w:rsidR="00DE6069" w:rsidRPr="003C07EC" w:rsidTr="001E6163">
        <w:trPr>
          <w:trHeight w:val="3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3283" w:rsidRDefault="00DE6069" w:rsidP="00F75BB6">
            <w:pPr>
              <w:jc w:val="center"/>
              <w:rPr>
                <w:color w:val="333300"/>
              </w:rPr>
            </w:pPr>
          </w:p>
        </w:tc>
        <w:tc>
          <w:tcPr>
            <w:tcW w:w="3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B670CE" w:rsidRDefault="00DE6069" w:rsidP="00F75BB6">
            <w:pPr>
              <w:jc w:val="center"/>
              <w:rPr>
                <w:b/>
                <w:color w:val="000000"/>
              </w:rPr>
            </w:pPr>
            <w:r w:rsidRPr="00B670CE">
              <w:rPr>
                <w:b/>
                <w:color w:val="000000"/>
              </w:rPr>
              <w:t>ИТОГО: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B670CE" w:rsidRDefault="00DE6069" w:rsidP="00F75BB6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1E6163" w:rsidP="00F75B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985 720,00</w:t>
            </w:r>
          </w:p>
        </w:tc>
      </w:tr>
    </w:tbl>
    <w:p w:rsidR="00DE6069" w:rsidRDefault="00DE6069" w:rsidP="00DE6069">
      <w:pPr>
        <w:keepNext/>
        <w:keepLines/>
        <w:suppressAutoHyphens/>
        <w:jc w:val="both"/>
        <w:rPr>
          <w:lang w:eastAsia="en-US"/>
        </w:rPr>
      </w:pPr>
    </w:p>
    <w:p w:rsidR="001E6163" w:rsidRPr="001E6163" w:rsidRDefault="001E6163" w:rsidP="001E6163">
      <w:pPr>
        <w:pStyle w:val="a4"/>
        <w:rPr>
          <w:shd w:val="clear" w:color="auto" w:fill="FFFFFF"/>
        </w:rPr>
      </w:pPr>
      <w:r w:rsidRPr="001E6163">
        <w:rPr>
          <w:shd w:val="clear" w:color="auto" w:fill="FFFFFF" w:themeFill="background1"/>
        </w:rPr>
        <w:t>Средняя цена оптимальна для определения начальной (максимальной) цены контракта.</w:t>
      </w:r>
    </w:p>
    <w:p w:rsidR="00343C7B" w:rsidRPr="001E6163" w:rsidRDefault="00343C7B" w:rsidP="001E6163">
      <w:pPr>
        <w:pStyle w:val="a4"/>
        <w:rPr>
          <w:shd w:val="clear" w:color="auto" w:fill="FFFFFF"/>
        </w:rPr>
      </w:pPr>
      <w:r w:rsidRPr="001E6163">
        <w:rPr>
          <w:shd w:val="clear" w:color="auto" w:fill="FFFFFF"/>
        </w:rPr>
        <w:t>Х - Средняя цена за единицу товара, работы, услуги (НМЦК)</w:t>
      </w:r>
      <w:r w:rsidR="001E6163">
        <w:rPr>
          <w:shd w:val="clear" w:color="auto" w:fill="FFFFFF"/>
        </w:rPr>
        <w:t>:</w:t>
      </w:r>
      <w:r w:rsidR="001E6163" w:rsidRPr="001E6163">
        <w:rPr>
          <w:shd w:val="clear" w:color="auto" w:fill="FFFFFF"/>
        </w:rPr>
        <w:t xml:space="preserve"> 985 </w:t>
      </w:r>
      <w:r w:rsidR="001E6163">
        <w:rPr>
          <w:shd w:val="clear" w:color="auto" w:fill="FFFFFF"/>
        </w:rPr>
        <w:t>7</w:t>
      </w:r>
      <w:bookmarkStart w:id="0" w:name="_GoBack"/>
      <w:bookmarkEnd w:id="0"/>
      <w:r w:rsidR="001E6163" w:rsidRPr="001E6163">
        <w:rPr>
          <w:shd w:val="clear" w:color="auto" w:fill="FFFFFF"/>
        </w:rPr>
        <w:t xml:space="preserve">20,00 </w:t>
      </w:r>
    </w:p>
    <w:p w:rsidR="001E6163" w:rsidRPr="001E6163" w:rsidRDefault="001E6163" w:rsidP="001E6163">
      <w:pPr>
        <w:pStyle w:val="a4"/>
        <w:rPr>
          <w:shd w:val="clear" w:color="auto" w:fill="FFFFFF"/>
        </w:rPr>
      </w:pPr>
      <w:r w:rsidRPr="001E6163">
        <w:rPr>
          <w:shd w:val="clear" w:color="auto" w:fill="FFFFFF"/>
        </w:rPr>
        <w:t xml:space="preserve">Д - Среднее </w:t>
      </w:r>
      <w:proofErr w:type="spellStart"/>
      <w:r w:rsidRPr="001E6163">
        <w:rPr>
          <w:shd w:val="clear" w:color="auto" w:fill="FFFFFF"/>
        </w:rPr>
        <w:t>квадратическое</w:t>
      </w:r>
      <w:proofErr w:type="spellEnd"/>
      <w:r w:rsidRPr="001E6163">
        <w:rPr>
          <w:shd w:val="clear" w:color="auto" w:fill="FFFFFF"/>
        </w:rPr>
        <w:t xml:space="preserve"> отклонение</w:t>
      </w:r>
      <w:r>
        <w:rPr>
          <w:shd w:val="clear" w:color="auto" w:fill="FFFFFF"/>
        </w:rPr>
        <w:t xml:space="preserve">:  </w:t>
      </w:r>
      <w:r w:rsidRPr="001E6163">
        <w:rPr>
          <w:shd w:val="clear" w:color="auto" w:fill="FFFFFF"/>
        </w:rPr>
        <w:t>50623.39</w:t>
      </w:r>
    </w:p>
    <w:p w:rsidR="001E6163" w:rsidRPr="001E6163" w:rsidRDefault="001E6163" w:rsidP="001E6163">
      <w:pPr>
        <w:pStyle w:val="a4"/>
      </w:pPr>
      <w:r w:rsidRPr="001E6163">
        <w:rPr>
          <w:shd w:val="clear" w:color="auto" w:fill="FFFFFF"/>
        </w:rPr>
        <w:t xml:space="preserve">V - Коэффициент вариации </w:t>
      </w:r>
      <w:proofErr w:type="gramStart"/>
      <w:r w:rsidRPr="001E6163">
        <w:rPr>
          <w:shd w:val="clear" w:color="auto" w:fill="FFFFFF"/>
        </w:rPr>
        <w:t>цены</w:t>
      </w:r>
      <w:r>
        <w:rPr>
          <w:shd w:val="clear" w:color="auto" w:fill="FFFFFF"/>
        </w:rPr>
        <w:t xml:space="preserve">:   </w:t>
      </w:r>
      <w:proofErr w:type="gramEnd"/>
      <w:r>
        <w:rPr>
          <w:shd w:val="clear" w:color="auto" w:fill="FFFFFF"/>
        </w:rPr>
        <w:t xml:space="preserve"> </w:t>
      </w:r>
      <w:r w:rsidRPr="001E6163">
        <w:rPr>
          <w:shd w:val="clear" w:color="auto" w:fill="FFFFFF"/>
        </w:rPr>
        <w:t>5.14</w:t>
      </w:r>
    </w:p>
    <w:p w:rsidR="00343C7B" w:rsidRPr="001E6163" w:rsidRDefault="00343C7B" w:rsidP="001E6163">
      <w:pPr>
        <w:pStyle w:val="a4"/>
      </w:pPr>
      <w:r w:rsidRPr="001E6163">
        <w:t>НМЦК ~ Расчет начальной (максимальной) цены контракта онлайн</w:t>
      </w:r>
    </w:p>
    <w:p w:rsidR="00343C7B" w:rsidRPr="001E6163" w:rsidRDefault="00343C7B" w:rsidP="001E6163">
      <w:pPr>
        <w:pStyle w:val="a4"/>
      </w:pPr>
      <w:r w:rsidRPr="001E6163">
        <w:t>Значение НМЦК устанавливается на момент проведения</w:t>
      </w:r>
      <w:r w:rsidRPr="001E6163">
        <w:br/>
        <w:t>расчетов. Расчет осуществляется в следующее порядке:</w:t>
      </w:r>
    </w:p>
    <w:p w:rsidR="00343C7B" w:rsidRPr="001E6163" w:rsidRDefault="00343C7B" w:rsidP="001E6163">
      <w:pPr>
        <w:pStyle w:val="a4"/>
      </w:pPr>
      <w:r w:rsidRPr="001E6163">
        <w:rPr>
          <w:noProof/>
        </w:rPr>
        <w:drawing>
          <wp:inline distT="0" distB="0" distL="0" distR="0" wp14:anchorId="386BE6EA" wp14:editId="1E865FAC">
            <wp:extent cx="1066800" cy="361950"/>
            <wp:effectExtent l="0" t="0" r="0" b="0"/>
            <wp:docPr id="3" name="Рисунок 3" descr="Расчёт средней цены контр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чёт средней цены контрак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7B" w:rsidRPr="001E6163" w:rsidRDefault="00343C7B" w:rsidP="001E6163">
      <w:pPr>
        <w:pStyle w:val="a4"/>
      </w:pPr>
      <w:r w:rsidRPr="001E6163">
        <w:t xml:space="preserve">Где X – средняя арифметическая </w:t>
      </w:r>
      <w:proofErr w:type="gramStart"/>
      <w:r w:rsidRPr="001E6163">
        <w:t>величина,</w:t>
      </w:r>
      <w:r w:rsidRPr="001E6163">
        <w:br/>
        <w:t>x</w:t>
      </w:r>
      <w:proofErr w:type="gramEnd"/>
      <w:r w:rsidRPr="001E6163">
        <w:t xml:space="preserve">1, x2, x3, </w:t>
      </w:r>
      <w:proofErr w:type="spellStart"/>
      <w:r w:rsidRPr="001E6163">
        <w:t>xn</w:t>
      </w:r>
      <w:proofErr w:type="spellEnd"/>
      <w:r w:rsidRPr="001E6163">
        <w:t xml:space="preserve"> — цены на товары, работы, услуги различных поставщиков</w:t>
      </w:r>
      <w:r w:rsidRPr="001E6163">
        <w:br/>
        <w:t>(подрядчиков, исполнителей), n — количество поставщиков, цены которых</w:t>
      </w:r>
      <w:r w:rsidRPr="001E6163">
        <w:br/>
        <w:t>использовались при расчете</w:t>
      </w:r>
    </w:p>
    <w:p w:rsidR="00343C7B" w:rsidRPr="001E6163" w:rsidRDefault="00343C7B" w:rsidP="001E6163">
      <w:pPr>
        <w:pStyle w:val="a4"/>
      </w:pPr>
      <w:r w:rsidRPr="001E6163">
        <w:t>Для объективной характеристики анализируемой совокупности цен на товары, работы, услуги и оценки НМЦК</w:t>
      </w:r>
      <w:r w:rsidRPr="001E6163">
        <w:br/>
        <w:t>дополнительно определяется коэффициент вариации цены, характеризующий однородность совокупности цен</w:t>
      </w:r>
      <w:r w:rsidRPr="001E6163">
        <w:br/>
        <w:t>по следующей формуле:</w:t>
      </w:r>
    </w:p>
    <w:p w:rsidR="00343C7B" w:rsidRPr="001E6163" w:rsidRDefault="00343C7B" w:rsidP="001E6163">
      <w:pPr>
        <w:pStyle w:val="a4"/>
      </w:pPr>
      <w:r w:rsidRPr="001E6163">
        <w:rPr>
          <w:noProof/>
        </w:rPr>
        <w:drawing>
          <wp:inline distT="0" distB="0" distL="0" distR="0" wp14:anchorId="241119F6" wp14:editId="3F1DA8FE">
            <wp:extent cx="933450" cy="352425"/>
            <wp:effectExtent l="0" t="0" r="0" b="9525"/>
            <wp:docPr id="2" name="Рисунок 2" descr="Расчёт коэффициента вари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чёт коэффициента вари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7B" w:rsidRPr="001E6163" w:rsidRDefault="00343C7B" w:rsidP="001E6163">
      <w:pPr>
        <w:pStyle w:val="a4"/>
      </w:pPr>
      <w:proofErr w:type="gramStart"/>
      <w:r w:rsidRPr="001E6163">
        <w:t>Где:</w:t>
      </w:r>
      <w:r w:rsidRPr="001E6163">
        <w:br/>
        <w:t>V</w:t>
      </w:r>
      <w:proofErr w:type="gramEnd"/>
      <w:r w:rsidRPr="001E6163">
        <w:t xml:space="preserve"> — коэффициент вариации цены,</w:t>
      </w:r>
      <w:r w:rsidRPr="001E6163">
        <w:br/>
      </w:r>
      <w:r w:rsidRPr="001E6163">
        <w:lastRenderedPageBreak/>
        <w:t xml:space="preserve">Д — среднее </w:t>
      </w:r>
      <w:proofErr w:type="spellStart"/>
      <w:r w:rsidRPr="001E6163">
        <w:t>квадратическое</w:t>
      </w:r>
      <w:proofErr w:type="spellEnd"/>
      <w:r w:rsidRPr="001E6163">
        <w:t xml:space="preserve"> отклонение,</w:t>
      </w:r>
      <w:r w:rsidRPr="001E6163">
        <w:br/>
        <w:t>X — средняя арифметическая величина.</w:t>
      </w:r>
    </w:p>
    <w:p w:rsidR="00343C7B" w:rsidRPr="001E6163" w:rsidRDefault="00343C7B" w:rsidP="001E6163">
      <w:pPr>
        <w:pStyle w:val="a4"/>
      </w:pPr>
      <w:r w:rsidRPr="001E6163">
        <w:t xml:space="preserve">Среднее </w:t>
      </w:r>
      <w:proofErr w:type="spellStart"/>
      <w:r w:rsidRPr="001E6163">
        <w:t>квадратическое</w:t>
      </w:r>
      <w:proofErr w:type="spellEnd"/>
      <w:r w:rsidRPr="001E6163">
        <w:t xml:space="preserve"> отклонение представляет собой корень квадратный из дисперсии (отклонение</w:t>
      </w:r>
      <w:r w:rsidRPr="001E6163">
        <w:br/>
        <w:t>вариантов значений признака от средней величины):</w:t>
      </w:r>
    </w:p>
    <w:p w:rsidR="00343C7B" w:rsidRPr="001E6163" w:rsidRDefault="00343C7B" w:rsidP="001E6163">
      <w:pPr>
        <w:pStyle w:val="a4"/>
      </w:pPr>
      <w:r w:rsidRPr="001E6163">
        <w:rPr>
          <w:noProof/>
        </w:rPr>
        <w:drawing>
          <wp:inline distT="0" distB="0" distL="0" distR="0" wp14:anchorId="6FE8DBB5" wp14:editId="53419AE0">
            <wp:extent cx="1133475" cy="476250"/>
            <wp:effectExtent l="0" t="0" r="9525" b="0"/>
            <wp:docPr id="1" name="Рисунок 1" descr="Расчет среднего квадратического откло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чет среднего квадратического отклон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7B" w:rsidRPr="001E6163" w:rsidRDefault="00343C7B" w:rsidP="001E6163">
      <w:pPr>
        <w:pStyle w:val="a4"/>
      </w:pPr>
      <w:r w:rsidRPr="001E6163">
        <w:t>Чем больше значение коэффициента вариации, тем относительно больший разброс и меньшая выравненность</w:t>
      </w:r>
      <w:r w:rsidRPr="001E6163">
        <w:br/>
        <w:t>исследуемых значений. Если коэффициент вариации меньше 10%, то изменчивость вариационного ряда</w:t>
      </w:r>
      <w:r w:rsidRPr="001E6163">
        <w:br/>
        <w:t>принято считать незначительной, от 10% до 20% относится к средней, больше 20% и меньше 33% к</w:t>
      </w:r>
      <w:r w:rsidRPr="001E6163">
        <w:br/>
        <w:t>значительной и если коэффициент вариации превышает 33%, то это говорит о неоднородности информации и</w:t>
      </w:r>
      <w:r w:rsidRPr="001E6163">
        <w:br/>
        <w:t>необходимости исключения самых больших и самых маленьких значений</w:t>
      </w:r>
    </w:p>
    <w:p w:rsidR="00343C7B" w:rsidRDefault="00343C7B" w:rsidP="00DE6069">
      <w:pPr>
        <w:keepNext/>
        <w:keepLines/>
        <w:suppressAutoHyphens/>
        <w:jc w:val="both"/>
        <w:rPr>
          <w:lang w:eastAsia="en-US"/>
        </w:rPr>
      </w:pPr>
    </w:p>
    <w:p w:rsidR="00C44FAD" w:rsidRDefault="00C44FAD" w:rsidP="00F75BB6"/>
    <w:sectPr w:rsidR="00C44FAD" w:rsidSect="001E61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69"/>
    <w:rsid w:val="001954EE"/>
    <w:rsid w:val="001E6163"/>
    <w:rsid w:val="00343C7B"/>
    <w:rsid w:val="00C44FAD"/>
    <w:rsid w:val="00DE6069"/>
    <w:rsid w:val="00F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5ABE1-9EAB-4CD6-B0FA-5F098B17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C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3</cp:revision>
  <dcterms:created xsi:type="dcterms:W3CDTF">2019-11-27T04:39:00Z</dcterms:created>
  <dcterms:modified xsi:type="dcterms:W3CDTF">2023-05-02T09:29:00Z</dcterms:modified>
</cp:coreProperties>
</file>